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val="0"/>
          <w:bCs/>
          <w:sz w:val="32"/>
          <w:szCs w:val="32"/>
        </w:rPr>
      </w:pPr>
      <w:r>
        <w:rPr>
          <w:rFonts w:hint="eastAsia" w:ascii="方正小标宋_GBK" w:hAnsi="方正小标宋_GBK" w:eastAsia="方正小标宋_GBK" w:cs="方正小标宋_GBK"/>
          <w:b w:val="0"/>
          <w:bCs/>
          <w:spacing w:val="-23"/>
          <w:sz w:val="44"/>
          <w:szCs w:val="44"/>
        </w:rPr>
        <w:t>黄山学院服务支撑“三地一区”建设行动方案</w:t>
      </w:r>
    </w:p>
    <w:p>
      <w:pPr>
        <w:jc w:val="center"/>
        <w:rPr>
          <w:b/>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各部门、各学院：</w:t>
      </w:r>
    </w:p>
    <w:p>
      <w:pPr>
        <w:keepNext w:val="0"/>
        <w:keepLines w:val="0"/>
        <w:pageBreakBefore w:val="0"/>
        <w:widowControl w:val="0"/>
        <w:kinsoku/>
        <w:wordWrap/>
        <w:overflowPunct/>
        <w:topLinePunct w:val="0"/>
        <w:autoSpaceDE/>
        <w:autoSpaceDN/>
        <w:bidi w:val="0"/>
        <w:adjustRightInd/>
        <w:snapToGrid/>
        <w:spacing w:line="620" w:lineRule="exact"/>
        <w:ind w:firstLine="768" w:firstLineChars="2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为深入学习贯彻习近平总书记考察安徽重要讲话指示精神，落实《中共中央 国务院关于新时代推动中部地区高质量发展的意见》精神，贯彻落实省委、省政府关于推进我省科技创新策源地、新兴产业聚集地、改革开放新高地和经济社会发展全面绿色转型区（以下简称“三地一区”）建设的重大战略部署，根据《安徽省教育厅关于组织高校研制服务支撑“三地一区”建设行动方案的通知》（皖教秘高﹝2021﹞96号）精神，立足学校办学定位和办学特色，结合学校“十四五”发展规划，加快构建高质量教育体系，服务支撑我省“三地一区”建设，经研究，制定《黄山学院服务支撑“三地一区”建设行动方案》，具体内容如下：</w:t>
      </w:r>
    </w:p>
    <w:p>
      <w:pPr>
        <w:keepNext w:val="0"/>
        <w:keepLines w:val="0"/>
        <w:pageBreakBefore w:val="0"/>
        <w:widowControl w:val="0"/>
        <w:kinsoku/>
        <w:wordWrap/>
        <w:overflowPunct/>
        <w:topLinePunct w:val="0"/>
        <w:autoSpaceDE/>
        <w:autoSpaceDN/>
        <w:bidi w:val="0"/>
        <w:adjustRightInd/>
        <w:snapToGrid/>
        <w:spacing w:line="620" w:lineRule="exact"/>
        <w:ind w:firstLine="768" w:firstLineChars="24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一、指导思想</w:t>
      </w:r>
    </w:p>
    <w:p>
      <w:pPr>
        <w:keepNext w:val="0"/>
        <w:keepLines w:val="0"/>
        <w:pageBreakBefore w:val="0"/>
        <w:widowControl w:val="0"/>
        <w:kinsoku/>
        <w:wordWrap/>
        <w:overflowPunct/>
        <w:topLinePunct w:val="0"/>
        <w:autoSpaceDE/>
        <w:autoSpaceDN/>
        <w:bidi w:val="0"/>
        <w:adjustRightInd/>
        <w:snapToGrid/>
        <w:spacing w:line="620" w:lineRule="exact"/>
        <w:ind w:firstLine="768" w:firstLineChars="2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举中国特色社会主义伟大旗帜，以习近平新时代中国特色社会主义思想为指导，深入学习贯彻习近平总书记考察安徽重要讲话指示精神，立足新发展阶段，贯彻新发展理念，构建新发展格局，坚持“地方性、应用型、国际化”办学定位，聚焦“旅游、生态、徽文化”办学特色，全面贯彻党的教育方针，落实立德树人根本任务，加快建设特色鲜明的地方应用型高水平大学，以高质量发展为“三地一区”建设提供智力支持和人才支撑，为建设经济强、百姓富、生态美的新阶段现代化美好安徽作出新的更大贡献。</w:t>
      </w:r>
    </w:p>
    <w:p>
      <w:pPr>
        <w:keepNext w:val="0"/>
        <w:keepLines w:val="0"/>
        <w:pageBreakBefore w:val="0"/>
        <w:widowControl w:val="0"/>
        <w:kinsoku/>
        <w:wordWrap/>
        <w:overflowPunct/>
        <w:topLinePunct w:val="0"/>
        <w:autoSpaceDE/>
        <w:autoSpaceDN/>
        <w:bidi w:val="0"/>
        <w:adjustRightInd/>
        <w:snapToGrid/>
        <w:spacing w:line="620" w:lineRule="exact"/>
        <w:ind w:firstLine="768" w:firstLineChars="24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二、基本原则</w:t>
      </w:r>
    </w:p>
    <w:p>
      <w:pPr>
        <w:keepNext w:val="0"/>
        <w:keepLines w:val="0"/>
        <w:pageBreakBefore w:val="0"/>
        <w:widowControl w:val="0"/>
        <w:kinsoku/>
        <w:wordWrap/>
        <w:overflowPunct/>
        <w:topLinePunct w:val="0"/>
        <w:autoSpaceDE/>
        <w:autoSpaceDN/>
        <w:bidi w:val="0"/>
        <w:adjustRightInd/>
        <w:snapToGrid/>
        <w:spacing w:line="620" w:lineRule="exact"/>
        <w:ind w:firstLine="482" w:firstLineChars="15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（一）坚持目标导向。</w:t>
      </w:r>
      <w:r>
        <w:rPr>
          <w:rFonts w:hint="eastAsia" w:ascii="仿宋" w:hAnsi="仿宋" w:eastAsia="仿宋" w:cs="仿宋"/>
          <w:color w:val="000000" w:themeColor="text1"/>
          <w:sz w:val="32"/>
          <w:szCs w:val="32"/>
          <w14:textFill>
            <w14:solidFill>
              <w14:schemeClr w14:val="tx1"/>
            </w14:solidFill>
          </w14:textFill>
        </w:rPr>
        <w:t>贯彻落实习近平总书记考察安徽重要讲话指示精神，对标《安徽省国民经济和社会发展第十四个五年规划和2035年远景目标纲要》中“三地一区”建设情况，把握服务支撑“三地一区”建设为我省高等教育提供的重大机遇，结合学校发展实际，整体推进，重点突破，优化学科专业结构，推动学校教育教学高质量发展，加快建设地方应用型高水平大学。</w:t>
      </w:r>
    </w:p>
    <w:p>
      <w:pPr>
        <w:keepNext w:val="0"/>
        <w:keepLines w:val="0"/>
        <w:pageBreakBefore w:val="0"/>
        <w:widowControl w:val="0"/>
        <w:kinsoku/>
        <w:wordWrap/>
        <w:overflowPunct/>
        <w:topLinePunct w:val="0"/>
        <w:autoSpaceDE/>
        <w:autoSpaceDN/>
        <w:bidi w:val="0"/>
        <w:adjustRightInd/>
        <w:snapToGrid/>
        <w:spacing w:line="620" w:lineRule="exact"/>
        <w:ind w:firstLine="482" w:firstLineChars="15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（二）坚持问题导向。</w:t>
      </w:r>
      <w:r>
        <w:rPr>
          <w:rFonts w:hint="eastAsia" w:ascii="仿宋" w:hAnsi="仿宋" w:eastAsia="仿宋" w:cs="仿宋"/>
          <w:color w:val="000000" w:themeColor="text1"/>
          <w:sz w:val="32"/>
          <w:szCs w:val="32"/>
          <w14:textFill>
            <w14:solidFill>
              <w14:schemeClr w14:val="tx1"/>
            </w14:solidFill>
          </w14:textFill>
        </w:rPr>
        <w:t>聚焦阻碍学校服务支撑“三地一区”建设的痛点、难点和堵点，深化体制机制改革，加大政策供给和制度创新，通过完备的政策体系、严实的责任体系、高效的组织体系，构成完整工作链条，在重点领域和关键环节上取得新突破。</w:t>
      </w:r>
    </w:p>
    <w:p>
      <w:pPr>
        <w:keepNext w:val="0"/>
        <w:keepLines w:val="0"/>
        <w:pageBreakBefore w:val="0"/>
        <w:widowControl w:val="0"/>
        <w:kinsoku/>
        <w:wordWrap/>
        <w:overflowPunct/>
        <w:topLinePunct w:val="0"/>
        <w:autoSpaceDE/>
        <w:autoSpaceDN/>
        <w:bidi w:val="0"/>
        <w:adjustRightInd/>
        <w:snapToGrid/>
        <w:spacing w:line="620" w:lineRule="exact"/>
        <w:ind w:firstLine="482" w:firstLineChars="15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（三）坚持需求导向。</w:t>
      </w:r>
      <w:r>
        <w:rPr>
          <w:rFonts w:hint="eastAsia" w:ascii="仿宋" w:hAnsi="仿宋" w:eastAsia="仿宋" w:cs="仿宋"/>
          <w:color w:val="000000" w:themeColor="text1"/>
          <w:sz w:val="32"/>
          <w:szCs w:val="32"/>
          <w14:textFill>
            <w14:solidFill>
              <w14:schemeClr w14:val="tx1"/>
            </w14:solidFill>
          </w14:textFill>
        </w:rPr>
        <w:t>全方位融入“三地一区”建设，紧跟技术进步和产业变革趋势，紧盯“三地一区”建设对人才、创新能力、成果转化、国际化办学等提出的新需求，立足自身实际、行业特点和人才、资源优势等，对接区域经济社会发展需求，不断增强服务能力，促进高质量发展。</w:t>
      </w:r>
    </w:p>
    <w:p>
      <w:pPr>
        <w:keepNext w:val="0"/>
        <w:keepLines w:val="0"/>
        <w:pageBreakBefore w:val="0"/>
        <w:widowControl w:val="0"/>
        <w:kinsoku/>
        <w:wordWrap/>
        <w:overflowPunct/>
        <w:topLinePunct w:val="0"/>
        <w:autoSpaceDE/>
        <w:autoSpaceDN/>
        <w:bidi w:val="0"/>
        <w:adjustRightInd/>
        <w:snapToGrid/>
        <w:spacing w:line="620" w:lineRule="exact"/>
        <w:ind w:firstLine="768" w:firstLineChars="24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三、总体</w:t>
      </w:r>
      <w:bookmarkStart w:id="0" w:name="_GoBack"/>
      <w:bookmarkEnd w:id="0"/>
      <w:r>
        <w:rPr>
          <w:rFonts w:hint="eastAsia" w:ascii="黑体" w:hAnsi="黑体" w:eastAsia="黑体" w:cs="黑体"/>
          <w:b w:val="0"/>
          <w:bCs w:val="0"/>
          <w:color w:val="000000" w:themeColor="text1"/>
          <w:sz w:val="32"/>
          <w:szCs w:val="32"/>
          <w14:textFill>
            <w14:solidFill>
              <w14:schemeClr w14:val="tx1"/>
            </w14:solidFill>
          </w14:textFill>
        </w:rPr>
        <w:t>目标</w:t>
      </w:r>
    </w:p>
    <w:p>
      <w:pPr>
        <w:keepNext w:val="0"/>
        <w:keepLines w:val="0"/>
        <w:pageBreakBefore w:val="0"/>
        <w:widowControl w:val="0"/>
        <w:kinsoku/>
        <w:wordWrap/>
        <w:overflowPunct/>
        <w:topLinePunct w:val="0"/>
        <w:autoSpaceDE/>
        <w:autoSpaceDN/>
        <w:bidi w:val="0"/>
        <w:adjustRightInd/>
        <w:snapToGrid/>
        <w:spacing w:line="620" w:lineRule="exact"/>
        <w:ind w:firstLine="768" w:firstLineChars="2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十四五期间，学校以服务支撑安徽省“三地一区”建设需求为导向，落实学校第三次党代会确立的“3535”发展战略，聚焦服务支撑“科技创新策源地”，建设一流学科建设培育项目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轻量化合金薄板搅拌摩擦成型数控装备工程技术研究中心、皖南特色生态产业发展研究中心、新安中药技术创新中心、皖南文创产业设计研发中心、引才渠道拓展项目等；聚焦服务支撑“新兴产业聚集地”，建设安徽省旅游人才培养基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智能制造工程专业课程群、集成电路设计与集成系统专业、“六维一体”土建类专业人才培养模式、新文科视域下互联网运营及创业型人才培养机制、教师应用能力工作站等；聚焦“改革开放新高地”，建设徽文化对外传播研究中心、以“文旅需求”为导向的来华留学目的地高校、世界技能大赛赛训基地、长三角就业基地群等；聚焦“经济社会发展全面绿色转型区”，建设新安江生态环境保护研究院、皖南乡村振兴研究基地、徽菜绿色食材加工及康养研究基地、大生命健康研究中心、徽文化研学旅游协同创新平台建设、黄山体育文化科技中心等。通过建设，力争高水平创新平台、高水平创新团队、高水平科技成果等方面实现“三个突破”，完成师资队伍水平、人才培养质量、综合管理水平、服务地方经济社会发展能力的“四个提升”。</w:t>
      </w:r>
    </w:p>
    <w:p>
      <w:pPr>
        <w:keepNext w:val="0"/>
        <w:keepLines w:val="0"/>
        <w:pageBreakBefore w:val="0"/>
        <w:widowControl w:val="0"/>
        <w:kinsoku/>
        <w:wordWrap/>
        <w:overflowPunct/>
        <w:topLinePunct w:val="0"/>
        <w:autoSpaceDE/>
        <w:autoSpaceDN/>
        <w:bidi w:val="0"/>
        <w:adjustRightInd/>
        <w:snapToGrid/>
        <w:spacing w:line="620" w:lineRule="exact"/>
        <w:ind w:firstLine="768" w:firstLineChars="2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到十四五末，通过服务支撑安徽省“三地一区”建设，学校发展的核心竞争力明显提升，总体办学水平显著提高，成为地方经济和社会发展的重要支撑，成为安徽旅游、生态应用型人才培养的重要基地、徽州文化传承创新的重要阵地，在服务地方经济社会发展、弘扬优秀传统文化和促进高等教育高质量发展等方面发挥重大作用。</w:t>
      </w:r>
    </w:p>
    <w:p>
      <w:pPr>
        <w:keepNext w:val="0"/>
        <w:keepLines w:val="0"/>
        <w:pageBreakBefore w:val="0"/>
        <w:widowControl w:val="0"/>
        <w:kinsoku/>
        <w:wordWrap/>
        <w:overflowPunct/>
        <w:topLinePunct w:val="0"/>
        <w:autoSpaceDE/>
        <w:autoSpaceDN/>
        <w:bidi w:val="0"/>
        <w:adjustRightInd/>
        <w:snapToGrid/>
        <w:spacing w:line="620" w:lineRule="exact"/>
        <w:ind w:firstLine="768" w:firstLineChars="24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四、重点举措</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（一）科技创新策源地建设</w:t>
      </w:r>
    </w:p>
    <w:p>
      <w:pPr>
        <w:keepNext w:val="0"/>
        <w:keepLines w:val="0"/>
        <w:pageBreakBefore w:val="0"/>
        <w:widowControl w:val="0"/>
        <w:kinsoku/>
        <w:wordWrap/>
        <w:overflowPunct/>
        <w:topLinePunct w:val="0"/>
        <w:autoSpaceDE/>
        <w:autoSpaceDN/>
        <w:bidi w:val="0"/>
        <w:adjustRightInd/>
        <w:snapToGrid/>
        <w:spacing w:line="620" w:lineRule="exact"/>
        <w:ind w:firstLine="771" w:firstLineChars="240"/>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1.一流学科建设培育项目。</w:t>
      </w:r>
      <w:r>
        <w:rPr>
          <w:rFonts w:hint="eastAsia" w:ascii="仿宋" w:hAnsi="仿宋" w:eastAsia="仿宋" w:cs="仿宋"/>
          <w:color w:val="000000" w:themeColor="text1"/>
          <w:sz w:val="32"/>
          <w:szCs w:val="32"/>
          <w14:textFill>
            <w14:solidFill>
              <w14:schemeClr w14:val="tx1"/>
            </w14:solidFill>
          </w14:textFill>
        </w:rPr>
        <w:t>根据国家“双一流”建设、《安徽省高等学校高峰学科建设五年规划（2020—2024年）》及学校已有学科特色和硕士学位授予单位立项建设总体布局情况，结合建设地方性应用型高水平大学的目标要求，优化学科发展方向，聚焦应用型科学研究，立项建设一流学科校级培育项目4项，分别为中国语言文学、生物学、机械工程和工商管理，给予政策和经费上的支持，力争在“十四五”期间获批2-3项省级高峰学科Ⅲ类建设培育项目。</w:t>
      </w:r>
    </w:p>
    <w:p>
      <w:pPr>
        <w:keepNext w:val="0"/>
        <w:keepLines w:val="0"/>
        <w:pageBreakBefore w:val="0"/>
        <w:widowControl w:val="0"/>
        <w:kinsoku/>
        <w:wordWrap/>
        <w:overflowPunct/>
        <w:topLinePunct w:val="0"/>
        <w:autoSpaceDE/>
        <w:autoSpaceDN/>
        <w:bidi w:val="0"/>
        <w:adjustRightInd/>
        <w:snapToGrid/>
        <w:spacing w:line="620" w:lineRule="exact"/>
        <w:ind w:firstLine="771" w:firstLineChars="2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2.轻量化合金薄板搅拌摩擦成型数控装备工程技术研究中心建设。</w:t>
      </w:r>
      <w:r>
        <w:rPr>
          <w:rFonts w:hint="eastAsia" w:ascii="仿宋" w:hAnsi="仿宋" w:eastAsia="仿宋" w:cs="仿宋"/>
          <w:color w:val="000000" w:themeColor="text1"/>
          <w:sz w:val="32"/>
          <w:szCs w:val="32"/>
          <w14:textFill>
            <w14:solidFill>
              <w14:schemeClr w14:val="tx1"/>
            </w14:solidFill>
          </w14:textFill>
        </w:rPr>
        <w:t>以轻量化合金薄板搅拌摩擦成型数控装备研发为特色，从数控装备结构优化设计、专用数控系统研发、电气控制系统研发、激光跟踪系统研发、金属基复合材料研制五个方向重点开展六轴联动薄板搅拌摩擦连接装备、异种合金搅拌摩擦连接装备、适用于直角、过渡圆角搅拌摩擦连接专用装备、搅拌摩擦连接-铣削一体化专用装备和用于搅拌摩擦增材制造专用装备的研制工作。重点建设复杂数控系统开发实验室、在线监测系统实验室、远程故障诊断实验室、复合材料制备实验室、薄板加工工艺分析实验室等。与天津大学、哈尔滨工业大学、南京航空航天大学、日本三重大学、常州工学院、安徽炫弘数控科技有限公司、安徽省屯溪高压阀门有限公司等单位开展产学研合作，将轻量化合金薄板搅拌摩擦成型数控装备工程技术研究中心打造成特色鲜明的科技创新服务平台，为搅拌摩擦成型数控装备技术升级和产业化工程应用提供技术支撑。</w:t>
      </w:r>
    </w:p>
    <w:p>
      <w:pPr>
        <w:keepNext w:val="0"/>
        <w:keepLines w:val="0"/>
        <w:pageBreakBefore w:val="0"/>
        <w:widowControl w:val="0"/>
        <w:kinsoku/>
        <w:wordWrap/>
        <w:overflowPunct/>
        <w:topLinePunct w:val="0"/>
        <w:autoSpaceDE/>
        <w:autoSpaceDN/>
        <w:bidi w:val="0"/>
        <w:adjustRightInd/>
        <w:snapToGrid/>
        <w:spacing w:line="620" w:lineRule="exact"/>
        <w:ind w:firstLine="771" w:firstLineChars="2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3.皖南特色生态产业发展研究中心建设。</w:t>
      </w:r>
      <w:r>
        <w:rPr>
          <w:rFonts w:hint="eastAsia" w:ascii="仿宋" w:hAnsi="仿宋" w:eastAsia="仿宋" w:cs="仿宋"/>
          <w:color w:val="000000" w:themeColor="text1"/>
          <w:sz w:val="32"/>
          <w:szCs w:val="32"/>
          <w14:textFill>
            <w14:solidFill>
              <w14:schemeClr w14:val="tx1"/>
            </w14:solidFill>
          </w14:textFill>
        </w:rPr>
        <w:t>以皖南地区以及全省范围内生物资源为研究对象，深入践行“两山理论”，加大建设生物科学、林学、园林等专业，以农林转型发展为机遇，为安徽省生态文明建设提供技术支撑。十四五期间拟增设经济林专业招生，从新品种选育、有害生物防治、林下经济、森林康养、森林碳汇、森林认证等新方向，进行系统的林业科学研究。推动林业、环境、生态等相关学科的联动发展，推动碳达峰和碳中和、绿色生态经济等交叉性学科发展。立足黄山和皖南，围绕茶产业和松材线虫等病虫害综合防治等领域，在基础理论、关键技术、工程应用等进行系统性的绿色研究。</w:t>
      </w:r>
    </w:p>
    <w:p>
      <w:pPr>
        <w:keepNext w:val="0"/>
        <w:keepLines w:val="0"/>
        <w:pageBreakBefore w:val="0"/>
        <w:widowControl w:val="0"/>
        <w:kinsoku/>
        <w:wordWrap/>
        <w:overflowPunct/>
        <w:topLinePunct w:val="0"/>
        <w:autoSpaceDE/>
        <w:autoSpaceDN/>
        <w:bidi w:val="0"/>
        <w:adjustRightInd/>
        <w:snapToGrid/>
        <w:spacing w:line="620" w:lineRule="exact"/>
        <w:ind w:firstLine="771" w:firstLineChars="2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4.新安中药技术创新中心建设。</w:t>
      </w:r>
      <w:r>
        <w:rPr>
          <w:rFonts w:hint="eastAsia" w:ascii="仿宋" w:hAnsi="仿宋" w:eastAsia="仿宋" w:cs="仿宋"/>
          <w:color w:val="000000" w:themeColor="text1"/>
          <w:sz w:val="32"/>
          <w:szCs w:val="32"/>
          <w14:textFill>
            <w14:solidFill>
              <w14:schemeClr w14:val="tx1"/>
            </w14:solidFill>
          </w14:textFill>
        </w:rPr>
        <w:t>保护发掘研究新安中药，打造新安中药创新资源聚集地，构建结构多元和组织运行开放的中药技术创新中心。围绕新安中药功能成分、药用新材料及可降解生物材料开展技术创新研究，以此为基础对中药制剂进行处方设计，并对传统院内制剂以及中药大品种进行二次开发，提高药物生物利用度，增加药物适应症。重点建设药物设计重点实验室、生物无机功能材料实验室及中药创新实验室等。与黄山市中医院、新安医学研究中心、黄山仙寓山农业科技公司、南京同仁堂精制药业有限公司及黄山胶囊有限公司等单位开展合作，依托黄山特有的丰富道地药材资源，开展药效、活性成分等现代科学研究工作，研究黄山道地药材白术、黄精、厚朴、覆盆子等药材的有效成分，研究产业化技术，全面提升新安中药研发水平。</w:t>
      </w:r>
    </w:p>
    <w:p>
      <w:pPr>
        <w:keepNext w:val="0"/>
        <w:keepLines w:val="0"/>
        <w:pageBreakBefore w:val="0"/>
        <w:widowControl w:val="0"/>
        <w:kinsoku/>
        <w:wordWrap/>
        <w:overflowPunct/>
        <w:topLinePunct w:val="0"/>
        <w:autoSpaceDE/>
        <w:autoSpaceDN/>
        <w:bidi w:val="0"/>
        <w:adjustRightInd/>
        <w:snapToGrid/>
        <w:spacing w:line="620" w:lineRule="exact"/>
        <w:ind w:firstLine="771" w:firstLineChars="2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5.皖南文创产业设计研发中心建设。</w:t>
      </w:r>
      <w:r>
        <w:rPr>
          <w:rFonts w:hint="eastAsia" w:ascii="仿宋" w:hAnsi="仿宋" w:eastAsia="仿宋" w:cs="仿宋"/>
          <w:color w:val="000000" w:themeColor="text1"/>
          <w:sz w:val="32"/>
          <w:szCs w:val="32"/>
          <w14:textFill>
            <w14:solidFill>
              <w14:schemeClr w14:val="tx1"/>
            </w14:solidFill>
          </w14:textFill>
        </w:rPr>
        <w:t>拟设以下重点研究方向：徽州旅游商品设计与产业发展研究、乡村振兴与绿色包装设计研发、徽州非物质文化遗产传习、非遗技艺传承数字化产业发展研究、皖南文化艺术产学融合与成果推广等。主要提供以科技创新研发为核心的全方位的产品开发设计服务和完整的工业设计、新兴产业发展解决方案。以安徽文旅等产品数字创意开发利用为核心，以网络视频与“两微一端”新业态、3R体验与电子竞技游戏新业态、创意和设计服务新业态等为路径，赋能“创意创新+财富生产链”等，推动成规模地生产和流通在国内外市场带有徽州文化元素的产品品牌并形成新业态。</w:t>
      </w:r>
    </w:p>
    <w:p>
      <w:pPr>
        <w:keepNext w:val="0"/>
        <w:keepLines w:val="0"/>
        <w:pageBreakBefore w:val="0"/>
        <w:widowControl w:val="0"/>
        <w:kinsoku/>
        <w:wordWrap/>
        <w:overflowPunct/>
        <w:topLinePunct w:val="0"/>
        <w:autoSpaceDE/>
        <w:autoSpaceDN/>
        <w:bidi w:val="0"/>
        <w:adjustRightInd/>
        <w:snapToGrid/>
        <w:spacing w:line="620" w:lineRule="exact"/>
        <w:ind w:firstLine="771" w:firstLineChars="2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6.引才渠道拓展项目建设。</w:t>
      </w:r>
      <w:r>
        <w:rPr>
          <w:rFonts w:hint="eastAsia" w:ascii="仿宋" w:hAnsi="仿宋" w:eastAsia="仿宋" w:cs="仿宋"/>
          <w:color w:val="000000" w:themeColor="text1"/>
          <w:sz w:val="32"/>
          <w:szCs w:val="32"/>
          <w14:textFill>
            <w14:solidFill>
              <w14:schemeClr w14:val="tx1"/>
            </w14:solidFill>
          </w14:textFill>
        </w:rPr>
        <w:t>贯彻落实省委、省政府“双招双引”决策部署，进一步加快聚集人才资源，完善人才引进协同机制，将服务支撑“三地一区”建设作为人才资源配置的重要导向。制订各类人才项目申报规划，提前布局，有目标有针对性地进行培养和引进。充分利用博士后科研工作站的“蓄水池”功能，吸引、集聚“高、精、尖、缺”人才。根据“三地一区”建设对人才提出的新需求，探索以年薪制、协议工资制、项目工资等灵活多样的形式大力引进高层次人才和团队。依托长三角一体化和黄山市融杭接沪，继续特聘或采取“柔性引进”方式聘任校外资深教授来校讲学、授课；吸引专家学者以兼职、合作研究、短期讲学等形式来校服务；外聘基础扎实、经验丰富的校外教师来校兼任理论和实践教学工作；加大海外人才聘用力度，努力形成一支适应科技创新策源地建设的专兼结合的教师队伍。</w:t>
      </w:r>
    </w:p>
    <w:p>
      <w:pPr>
        <w:keepNext w:val="0"/>
        <w:keepLines w:val="0"/>
        <w:pageBreakBefore w:val="0"/>
        <w:widowControl w:val="0"/>
        <w:kinsoku/>
        <w:wordWrap/>
        <w:overflowPunct/>
        <w:topLinePunct w:val="0"/>
        <w:autoSpaceDE/>
        <w:autoSpaceDN/>
        <w:bidi w:val="0"/>
        <w:adjustRightInd/>
        <w:snapToGrid/>
        <w:spacing w:line="620" w:lineRule="exact"/>
        <w:ind w:firstLine="475" w:firstLineChars="148"/>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（二）新兴产业聚集地建设</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1.安徽省旅游人才培养基地建设。</w:t>
      </w:r>
      <w:r>
        <w:rPr>
          <w:rFonts w:hint="eastAsia" w:ascii="仿宋" w:hAnsi="仿宋" w:eastAsia="仿宋" w:cs="仿宋"/>
          <w:color w:val="000000" w:themeColor="text1"/>
          <w:sz w:val="32"/>
          <w:szCs w:val="32"/>
          <w14:textFill>
            <w14:solidFill>
              <w14:schemeClr w14:val="tx1"/>
            </w14:solidFill>
          </w14:textFill>
        </w:rPr>
        <w:t>积极响应国家与安徽省关于促进旅游发展的战略，立足学校在旅游学、经济学、管理学、文化艺术等方面的人才优势和专业能力，全方位、多层次组织开展安徽省旅游人才队伍建设的培训、培养与研究工作，为推动安徽省旅游高质量发展提供智力支持。为皖南国际文化旅游示范区、徽州文化生态保护区、大别山旅游扶贫区、环巢湖休闲度假旅游区、皖北中原旅游区等国家区域战略实施提供有效的人才保障。主要内容为开展安徽省A级景区经管管理人才能力提升培训、安徽省旅游酒店经营管理人才能力提升培训、开展旅游行业课题研究、组织开展安徽省旅游人才培养高峰论坛、安徽省旅游人才教育培训工作研讨交流等。</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2.智能制造工程专业课程群建设。</w:t>
      </w:r>
      <w:r>
        <w:rPr>
          <w:rFonts w:hint="eastAsia" w:ascii="仿宋" w:hAnsi="仿宋" w:eastAsia="仿宋" w:cs="仿宋"/>
          <w:color w:val="000000" w:themeColor="text1"/>
          <w:sz w:val="32"/>
          <w:szCs w:val="32"/>
          <w14:textFill>
            <w14:solidFill>
              <w14:schemeClr w14:val="tx1"/>
            </w14:solidFill>
          </w14:textFill>
        </w:rPr>
        <w:t>我校是安徽省内率先开设新工科智能制造工程专业的高校之一。该项目将聚焦当前主流应用领域——“机器人工作站”，开展智能制造工程专业课程建设。结合专业自身特色，开展多学科之间的交叉融合，辅助线上-线下灵活的教学方式，加强师资建设，形成机器人工作站设计、系统集成、应用、故障诊断及维护等系列核心课程，培养具有良好的工程科学素质、较强的动手能力和社会适应性的高级工程技术应用型专业人才。</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3.集成电路设计与集成系统专业建设。</w:t>
      </w:r>
      <w:r>
        <w:rPr>
          <w:rFonts w:hint="eastAsia" w:ascii="仿宋" w:hAnsi="仿宋" w:eastAsia="仿宋" w:cs="仿宋"/>
          <w:color w:val="000000" w:themeColor="text1"/>
          <w:sz w:val="32"/>
          <w:szCs w:val="32"/>
          <w14:textFill>
            <w14:solidFill>
              <w14:schemeClr w14:val="tx1"/>
            </w14:solidFill>
          </w14:textFill>
        </w:rPr>
        <w:t>集成电路是加快建设制造业强国和网络强国的重要支撑。本项目建设内容主要为建设专业实践平台，主要覆盖微电子材料及器件、集成电路设计、集成电路制造工艺、集成电路封装与测试、集成电路微系统应用等集成电路全产业链，拟重点建设集成电路版图设计、集成电路封装与系统测试、集成电路设计综合应用等实验室。</w:t>
      </w:r>
    </w:p>
    <w:p>
      <w:pPr>
        <w:keepNext w:val="0"/>
        <w:keepLines w:val="0"/>
        <w:pageBreakBefore w:val="0"/>
        <w:widowControl w:val="0"/>
        <w:kinsoku/>
        <w:wordWrap/>
        <w:overflowPunct/>
        <w:topLinePunct w:val="0"/>
        <w:autoSpaceDE/>
        <w:autoSpaceDN/>
        <w:bidi w:val="0"/>
        <w:adjustRightInd/>
        <w:snapToGrid/>
        <w:spacing w:line="620" w:lineRule="exact"/>
        <w:ind w:firstLine="771" w:firstLineChars="2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4.“六维一体”土建类专业人才培养模式建设。</w:t>
      </w:r>
      <w:r>
        <w:rPr>
          <w:rFonts w:hint="eastAsia" w:ascii="仿宋" w:hAnsi="仿宋" w:eastAsia="仿宋" w:cs="仿宋"/>
          <w:color w:val="000000" w:themeColor="text1"/>
          <w:sz w:val="32"/>
          <w:szCs w:val="32"/>
          <w14:textFill>
            <w14:solidFill>
              <w14:schemeClr w14:val="tx1"/>
            </w14:solidFill>
          </w14:textFill>
        </w:rPr>
        <w:t>该项目以区域新兴产业人才需求为引领，重点建设“生态伦理、创新意识、工匠精神、知识复合、学以致用、文化传承”六维一体的土建类人才培养模式。即：以“生态教育”理念为引领、“生态绿色”建筑技术为支撑，达成“生态伦理”维度；以学科交叉为创新源头、“双创、学科竞赛”为载体，达成“创新意识”维度；以“立德树人”为先导、实践育人平台为抓手， 融合“徽州匠人”课程思政，达成“工匠精神”维度；以泛在化学习环境为依托，创新教育教学方法，深度融合现代人工智能、大数据、绿色新兴技术，以学科交叉融合为特征，重构课程体系，创新教育内容，达成“知识复合”维度；以校企协同育人为核心，构建工程实践教育体系，着力提升应用实践能力，达成“学以致用”维度；以徽州文化为底蕴、徽派建筑传承与创新为路径，达成“文化传承”维度。</w:t>
      </w:r>
    </w:p>
    <w:p>
      <w:pPr>
        <w:keepNext w:val="0"/>
        <w:keepLines w:val="0"/>
        <w:pageBreakBefore w:val="0"/>
        <w:widowControl w:val="0"/>
        <w:kinsoku/>
        <w:wordWrap/>
        <w:overflowPunct/>
        <w:topLinePunct w:val="0"/>
        <w:autoSpaceDE/>
        <w:autoSpaceDN/>
        <w:bidi w:val="0"/>
        <w:adjustRightInd/>
        <w:snapToGrid/>
        <w:spacing w:line="620" w:lineRule="exact"/>
        <w:ind w:firstLine="771" w:firstLineChars="2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5.新文科视域下互联网运营及创业型人才培养机制建设。</w:t>
      </w:r>
      <w:r>
        <w:rPr>
          <w:rFonts w:hint="eastAsia" w:ascii="仿宋" w:hAnsi="仿宋" w:eastAsia="仿宋" w:cs="仿宋"/>
          <w:color w:val="000000" w:themeColor="text1"/>
          <w:sz w:val="32"/>
          <w:szCs w:val="32"/>
          <w14:textFill>
            <w14:solidFill>
              <w14:schemeClr w14:val="tx1"/>
            </w14:solidFill>
          </w14:textFill>
        </w:rPr>
        <w:t>该项目结合经管类学科的专业特点，以创新创业精神和实践能力培养为导向，重在把企业引进校园，共建校企合作实验实训基地，组建“互联网+”特色班，推进校企深度合作，培养互联网运营和创业型人才。</w:t>
      </w:r>
    </w:p>
    <w:p>
      <w:pPr>
        <w:keepNext w:val="0"/>
        <w:keepLines w:val="0"/>
        <w:pageBreakBefore w:val="0"/>
        <w:widowControl w:val="0"/>
        <w:kinsoku/>
        <w:wordWrap/>
        <w:overflowPunct/>
        <w:topLinePunct w:val="0"/>
        <w:autoSpaceDE/>
        <w:autoSpaceDN/>
        <w:bidi w:val="0"/>
        <w:adjustRightInd/>
        <w:snapToGrid/>
        <w:spacing w:line="620" w:lineRule="exact"/>
        <w:ind w:firstLine="771" w:firstLineChars="2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6.教师应用能力发展工作站建设。</w:t>
      </w:r>
      <w:r>
        <w:rPr>
          <w:rFonts w:hint="eastAsia" w:ascii="仿宋" w:hAnsi="仿宋" w:eastAsia="仿宋" w:cs="仿宋"/>
          <w:color w:val="000000" w:themeColor="text1"/>
          <w:sz w:val="32"/>
          <w:szCs w:val="32"/>
          <w14:textFill>
            <w14:solidFill>
              <w14:schemeClr w14:val="tx1"/>
            </w14:solidFill>
          </w14:textFill>
        </w:rPr>
        <w:t>聚焦“三地一区”建设，以教师应用能力发展工作站为平台，分期分批选派中青年教师赴企事业单位挂职锻炼，精准对接地方发展新需求。完善教师应用能力发展工作站管理办法，推进教师社会实践工作常态化、规范化。健全“双能型”教师认定、聘用和考核制度，发挥行业企业在培养“双能型”教师中的重要作用。推进校企共建“双能型”教师培养培训基地、企业实践基地、技能大师工作室、教师教学创新团队等。探索“产业教授”评聘制度，将教师专业技能、创新能力、实践业绩和应用成果作为评价的主要指标，树立“产教融合”的教师发展导向。</w:t>
      </w:r>
    </w:p>
    <w:p>
      <w:pPr>
        <w:keepNext w:val="0"/>
        <w:keepLines w:val="0"/>
        <w:pageBreakBefore w:val="0"/>
        <w:widowControl w:val="0"/>
        <w:kinsoku/>
        <w:wordWrap/>
        <w:overflowPunct/>
        <w:topLinePunct w:val="0"/>
        <w:autoSpaceDE/>
        <w:autoSpaceDN/>
        <w:bidi w:val="0"/>
        <w:adjustRightInd/>
        <w:snapToGrid/>
        <w:spacing w:line="620" w:lineRule="exact"/>
        <w:ind w:firstLine="771" w:firstLineChars="240"/>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（三）改革开放新高地建设</w:t>
      </w:r>
      <w:r>
        <w:rPr>
          <w:rFonts w:hint="eastAsia" w:ascii="仿宋" w:hAnsi="仿宋" w:eastAsia="仿宋" w:cs="仿宋"/>
          <w:b/>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771" w:firstLineChars="2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1.徽文化对外传播研究中心建设。</w:t>
      </w:r>
      <w:r>
        <w:rPr>
          <w:rFonts w:hint="eastAsia" w:ascii="仿宋" w:hAnsi="仿宋" w:eastAsia="仿宋" w:cs="仿宋"/>
          <w:color w:val="000000" w:themeColor="text1"/>
          <w:sz w:val="32"/>
          <w:szCs w:val="32"/>
          <w14:textFill>
            <w14:solidFill>
              <w14:schemeClr w14:val="tx1"/>
            </w14:solidFill>
          </w14:textFill>
        </w:rPr>
        <w:t>积极响应“一带一路”号召和文化强国战略，充分整理地域文化资源，着力在全球化语境下讲好中国故事、传播中国声音，促进外语、中文等人文学科特色发展，打造徽州文化译介传播品牌，为黄山市国际旅游城市建设提供智力和人才支持。该研究中心以徽州文化译介、徽州文化国际传播等为主要对象，研究徽州文化对外传播中所体现的中外文化的特点和联系，丰富徽州文化的国际化传播和推广的理论与实践，进一步提升徽州文化的国际影响力。</w:t>
      </w:r>
    </w:p>
    <w:p>
      <w:pPr>
        <w:keepNext w:val="0"/>
        <w:keepLines w:val="0"/>
        <w:pageBreakBefore w:val="0"/>
        <w:widowControl w:val="0"/>
        <w:kinsoku/>
        <w:wordWrap/>
        <w:overflowPunct/>
        <w:topLinePunct w:val="0"/>
        <w:autoSpaceDE/>
        <w:autoSpaceDN/>
        <w:bidi w:val="0"/>
        <w:adjustRightInd/>
        <w:snapToGrid/>
        <w:spacing w:line="620" w:lineRule="exact"/>
        <w:ind w:firstLine="771" w:firstLineChars="2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2.以“文旅需求”为导向的来华留学目的地高校建设。</w:t>
      </w:r>
      <w:r>
        <w:rPr>
          <w:rFonts w:hint="eastAsia" w:ascii="仿宋" w:hAnsi="仿宋" w:eastAsia="仿宋" w:cs="仿宋"/>
          <w:color w:val="000000" w:themeColor="text1"/>
          <w:sz w:val="32"/>
          <w:szCs w:val="32"/>
          <w14:textFill>
            <w14:solidFill>
              <w14:schemeClr w14:val="tx1"/>
            </w14:solidFill>
          </w14:textFill>
        </w:rPr>
        <w:t>以“徽州文化+黄山旅游”为主导，充分发挥徽州历史文化和黄山国际旅游的资源优势与品牌影响力，将学校建设成为国际化办学影响广、跨文化交流层次高、专业教育吸引力强的知名来华留学目的地高校。发挥黄山旅游与徽州文化的叠加优势，致力于“留学安徽”国际教育品牌建设，结合学校优势学科专业，调整来华留学招生专业布局，做优做强来华留学生教育教学。围绕“黄山+徽文化”打造留学特色、突出“应用”办强留学专业，实现“地方性、应用型、国际化”有机融合、共生发展。开拓海外招生基地、积极开展国际交流合作，力争将学校建设成为来华留学生重要的研学基地。</w:t>
      </w:r>
    </w:p>
    <w:p>
      <w:pPr>
        <w:keepNext w:val="0"/>
        <w:keepLines w:val="0"/>
        <w:pageBreakBefore w:val="0"/>
        <w:widowControl w:val="0"/>
        <w:kinsoku/>
        <w:wordWrap/>
        <w:overflowPunct/>
        <w:topLinePunct w:val="0"/>
        <w:autoSpaceDE/>
        <w:autoSpaceDN/>
        <w:bidi w:val="0"/>
        <w:adjustRightInd/>
        <w:snapToGrid/>
        <w:spacing w:line="620" w:lineRule="exact"/>
        <w:ind w:firstLine="771" w:firstLineChars="2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3.世界技能大赛赛训基地建设。</w:t>
      </w:r>
      <w:r>
        <w:rPr>
          <w:rFonts w:hint="eastAsia" w:ascii="仿宋" w:hAnsi="仿宋" w:eastAsia="仿宋" w:cs="仿宋"/>
          <w:color w:val="000000" w:themeColor="text1"/>
          <w:sz w:val="32"/>
          <w:szCs w:val="32"/>
          <w14:textFill>
            <w14:solidFill>
              <w14:schemeClr w14:val="tx1"/>
            </w14:solidFill>
          </w14:textFill>
        </w:rPr>
        <w:t>重点建设世界技能大赛园艺、油漆与装饰两个项目中国集训基地，酒店接待项目安徽省集训基地。进一步建设满足竞赛项目要求的办公、训练场地和生活场所，进一步完备满足竞赛项目要求的设施设备和辅助工具，进一步完善满足竞赛项目训练规模所需的技术保障。进一步提升基地、教练、选手、翻译、裁判等为一体的赛训工作机制。在第44届、45届世界技能大赛取得优异成绩的基础上，力争使我校选手在上海举办的第46届世界技能大赛中再创佳绩。以赛训基地为主要平台，联合国内外相关行业组织，开展学科竞赛、论坛交流、产品技术展示、企业对接等活动，发挥赛训基地在应用型人才培养中的牵引效应。</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4.长三角就业基地群建设。</w:t>
      </w:r>
      <w:r>
        <w:rPr>
          <w:rFonts w:hint="eastAsia" w:ascii="仿宋" w:hAnsi="仿宋" w:eastAsia="仿宋" w:cs="仿宋"/>
          <w:color w:val="000000" w:themeColor="text1"/>
          <w:sz w:val="32"/>
          <w:szCs w:val="32"/>
          <w14:textFill>
            <w14:solidFill>
              <w14:schemeClr w14:val="tx1"/>
            </w14:solidFill>
          </w14:textFill>
        </w:rPr>
        <w:t>服务长三角一体化发展战略，加强长三角地区的就业基地建设，打造长三角就业基地群，服务长三角高质量发展。进一步加强与长三角地区企业联系与合作，积极拓展长三角就业市场，依托长三角产业结构，巩固已有就业基地，拓展和培育新就业基地，力争在长三角区域建设200个左右的毕业生就业基地。开展企业满意度调查，分析企业用人需求，撰写就业质量报告。建立“招生-培养-就业”联动机制，培养高质量应用型人才，实现毕业生高质量就业，促进学校高质量发展。</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（四）经济社会发展全面绿色转型区建设</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1.新安江生态环境保护研究院建设。</w:t>
      </w:r>
      <w:r>
        <w:rPr>
          <w:rFonts w:hint="eastAsia" w:ascii="仿宋" w:hAnsi="仿宋" w:eastAsia="仿宋" w:cs="仿宋"/>
          <w:color w:val="000000" w:themeColor="text1"/>
          <w:sz w:val="32"/>
          <w:szCs w:val="32"/>
          <w14:textFill>
            <w14:solidFill>
              <w14:schemeClr w14:val="tx1"/>
            </w14:solidFill>
          </w14:textFill>
        </w:rPr>
        <w:t>以服务新安江流域经济社会高质量绿色发展为目标，推进“学科-人才-科研-服务地方”一体化发展。以新安江流域水环境治理与保护、新安江流域生态保护数据模型化研究为重点，积极引进高层次人才，培育高水平创新团队，加强工科专业应用能力建设，大力培养环境科学专业人才，实现一流专业（学科）建设新突破，提升专业办学实力和影响力；加强校地深入合作，完善合作机制，加强人才交流和项目合作，为黄山市生态环境保护建设提供智力支持和人才支撑，同步提升环境科学、统计学等专业师资队伍水平和服务能力；聚焦环境污染治理和修复、环境健康、两山转化等方面，加强科学研究，构建与国内一流高校或科研院所之间的合作，逐步形成关键核心技术，引领学科发展，培养满足经济社会绿色转型发展的应用型人才。</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2.皖南乡村振兴研究中心建设。</w:t>
      </w:r>
      <w:r>
        <w:rPr>
          <w:rFonts w:hint="eastAsia" w:ascii="仿宋" w:hAnsi="仿宋" w:eastAsia="仿宋" w:cs="仿宋"/>
          <w:color w:val="000000" w:themeColor="text1"/>
          <w:sz w:val="32"/>
          <w:szCs w:val="32"/>
          <w14:textFill>
            <w14:solidFill>
              <w14:schemeClr w14:val="tx1"/>
            </w14:solidFill>
          </w14:textFill>
        </w:rPr>
        <w:t>以习近平新时代中国特色社会主义思想为指导，依托学校旅游、经济、农林、建筑规划、文化艺术等学科综合优势，深入贯彻乡村振兴战略，探索“乡村振兴战略”在皖南乡村的实施路径和具体举措。立足乡村基础教育质量、乡村基本公共服务、乡村文化传承与建设等问题，重点开展皖南乡村基础教育质量提升、乡村旅游发展规划、乡村文创产业发展、乡村规划、乡村治理、现代农业产业体系、乡村儿童媒介素养教育、乡村非物质文化遗产传承、优秀乡风民俗传承等方面的研究与实践。探索建立开放式、社会化、创新型的学术交流平台，定期组织论坛式研讨和学术活动，推出有分量的专题分析和决策分析报告，为皖南乡村振兴提供政策参考。</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3.徽菜绿色食材加工及康养研究基地建设。</w:t>
      </w:r>
      <w:r>
        <w:rPr>
          <w:rFonts w:hint="eastAsia" w:ascii="仿宋" w:hAnsi="仿宋" w:eastAsia="仿宋" w:cs="仿宋"/>
          <w:color w:val="000000" w:themeColor="text1"/>
          <w:sz w:val="32"/>
          <w:szCs w:val="32"/>
          <w14:textFill>
            <w14:solidFill>
              <w14:schemeClr w14:val="tx1"/>
            </w14:solidFill>
          </w14:textFill>
        </w:rPr>
        <w:t>依托皖南山区丰富的绿色食材资源，建设绿色食品加工及康养的基础研究、应用研究和成果转化的全链条体系，推动皖南生态农业、绿色加工、康养保健等产业变革，努力建成安徽省一流的绿色食材加工及康养研究基地。主要开展绿色食材加工的产业工程化共性关键技术研发，开发食品工程高新技术和科技成果转化。拟通过“绿色食材精深加工和安全生产关键技术研究开发”“绿色食材功能性成分提取、纯化和药代动力学分析”“徽菜品质提升及创新关键技术集成应用研究与示范”徽州特色小吃自动化加工和无菌包装产业化”等具体项目，深度挖掘皖南地区绿色食材食用价值、保健价值和经济价值，开发面向旅游市场的菜肴及特色小吃的产业化和标准化生产技术；新建徽菜创制工程技术研究实验室，组建特色餐饮创业服务中心和企业型科技人才的培养中心，将中心建设成为绿色食材产业工程技术和徽菜研发技术的集聚地和科技成果的辐射源，持续产出具有自主知识产权的共性技术及关键技术，提高工程化技术水平。</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4.大生命健康研究中心建设。</w:t>
      </w:r>
      <w:r>
        <w:rPr>
          <w:rFonts w:hint="eastAsia" w:ascii="仿宋" w:hAnsi="仿宋" w:eastAsia="仿宋" w:cs="仿宋"/>
          <w:color w:val="000000" w:themeColor="text1"/>
          <w:sz w:val="32"/>
          <w:szCs w:val="32"/>
          <w14:textFill>
            <w14:solidFill>
              <w14:schemeClr w14:val="tx1"/>
            </w14:solidFill>
          </w14:textFill>
        </w:rPr>
        <w:t>该中心建设将整合学校生物技术、生命科学、食品科学与工程等专业力量，围绕黄山特色生物资源的开发，在生物医药、生物提取和健康功能产品开发等方向开展研究，为黄山市生物医药、新安医学、道地中药材、绿色产品等大健康产业发展提供专业技术支撑，为黄山大健康产业发展提供上游支撑。</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5.徽文化研学旅游协同创新平台建设。</w:t>
      </w:r>
      <w:r>
        <w:rPr>
          <w:rFonts w:hint="eastAsia" w:ascii="仿宋" w:hAnsi="仿宋" w:eastAsia="仿宋" w:cs="仿宋"/>
          <w:color w:val="000000" w:themeColor="text1"/>
          <w:sz w:val="32"/>
          <w:szCs w:val="32"/>
          <w14:textFill>
            <w14:solidFill>
              <w14:schemeClr w14:val="tx1"/>
            </w14:solidFill>
          </w14:textFill>
        </w:rPr>
        <w:t>根据省教育厅“皖南地区高校要整合资源，重点打造旅游、健康等学科专业群”的指导意见，彰显学校“旅游、生态、徽文化”办学特色，加强学科专业群的交叉融合，积极对接地方文旅局、教育局，发挥黄山市“中国研学旅游目的地”的品牌效应，融合我校教育科学学院、旅游学院、艺术学院、文学院、文化与传播学院、体育学院等专业力量，加快研学课程的开发利用，助力和服务地方研学旅游的快速发展。与黄山市4个国家级、16个省级、26个市级研学基地建立“徽州文化研学课程”开发沟通机制，重点将徽州本土音乐（徽州民歌等）、戏剧（徽剧、目连戏等）以及传统民俗（徽州三雕、叠罗汉等）融入研学，共同打造独具徽州文化特色的研学课程。</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6.黄山体育文化科技中心建设。</w:t>
      </w:r>
      <w:r>
        <w:rPr>
          <w:rFonts w:hint="eastAsia" w:ascii="仿宋" w:hAnsi="仿宋" w:eastAsia="仿宋" w:cs="仿宋"/>
          <w:color w:val="000000" w:themeColor="text1"/>
          <w:sz w:val="32"/>
          <w:szCs w:val="32"/>
          <w14:textFill>
            <w14:solidFill>
              <w14:schemeClr w14:val="tx1"/>
            </w14:solidFill>
          </w14:textFill>
        </w:rPr>
        <w:t>主动服务体育强国建设、健康中国建设等国家发展战略，深入推进优秀传统体育文化传承创新工作，挖掘古徽州传统体育文化资源，加强徽州体育文化研究，推进传统武术、舞龙等传统体育文化项目建设。着力培育黄山市体旅文创、运动康养等体育新业态，组织骑行、水上等群众体育精品赛事，拓展轮滑、手球等青少年竞赛项目，在网球、篮球等体育产业中，强化智力服务和人才支持，助力黄山市加快打造美丽中国先行区、长三角绿色发展示范区和具有国际影响力的文化旅游目的地。</w:t>
      </w:r>
    </w:p>
    <w:p>
      <w:pPr>
        <w:keepNext w:val="0"/>
        <w:keepLines w:val="0"/>
        <w:pageBreakBefore w:val="0"/>
        <w:widowControl w:val="0"/>
        <w:kinsoku/>
        <w:wordWrap/>
        <w:overflowPunct/>
        <w:topLinePunct w:val="0"/>
        <w:autoSpaceDE/>
        <w:autoSpaceDN/>
        <w:bidi w:val="0"/>
        <w:adjustRightInd/>
        <w:snapToGrid/>
        <w:spacing w:line="620" w:lineRule="exact"/>
        <w:ind w:firstLine="768" w:firstLineChars="24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五、保障措施</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（一）强化组织领导</w:t>
      </w:r>
      <w:r>
        <w:rPr>
          <w:rFonts w:hint="eastAsia" w:ascii="仿宋" w:hAnsi="仿宋" w:eastAsia="仿宋" w:cs="仿宋"/>
          <w:color w:val="000000" w:themeColor="text1"/>
          <w:sz w:val="32"/>
          <w:szCs w:val="32"/>
          <w14:textFill>
            <w14:solidFill>
              <w14:schemeClr w14:val="tx1"/>
            </w14:solidFill>
          </w14:textFill>
        </w:rPr>
        <w:t>。加强组织统筹和工作调度，学校建立服务支撑“三地一区”建设工作领导小组，由党委书记、校长担任组长，其他分管校领导担任副组长；成立由办公室、人事处、教务处、财务处、科研处、学生处、外事办等相关单位人员组成的工作专班；领导小组下设办公室，办公室设在教务处，负责日常具体工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（二）广泛宣传动员。</w:t>
      </w:r>
      <w:r>
        <w:rPr>
          <w:rFonts w:hint="eastAsia" w:ascii="仿宋" w:hAnsi="仿宋" w:eastAsia="仿宋" w:cs="仿宋"/>
          <w:color w:val="000000" w:themeColor="text1"/>
          <w:sz w:val="32"/>
          <w:szCs w:val="32"/>
          <w14:textFill>
            <w14:solidFill>
              <w14:schemeClr w14:val="tx1"/>
            </w14:solidFill>
          </w14:textFill>
        </w:rPr>
        <w:t>采取多种形式，在全校广泛开展《行动方案》的宣传工作，大力营造落实《行动方案》的良好舆论氛围，使《行动方案》成为全校师生员工统一思想、凝聚力量、不懈奋斗的纲领性文件；抓好结合，将《行动方案》与学校“十四五”发展规划结合起来，与学校“3535”发展战略结合起来，一体推进、统筹实施。</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（三）狠抓推进落实。</w:t>
      </w:r>
      <w:r>
        <w:rPr>
          <w:rFonts w:hint="eastAsia" w:ascii="仿宋" w:hAnsi="仿宋" w:eastAsia="仿宋" w:cs="仿宋"/>
          <w:color w:val="000000" w:themeColor="text1"/>
          <w:sz w:val="32"/>
          <w:szCs w:val="32"/>
          <w14:textFill>
            <w14:solidFill>
              <w14:schemeClr w14:val="tx1"/>
            </w14:solidFill>
          </w14:textFill>
        </w:rPr>
        <w:t>制定任务分解表，细化任务、强化措施、落实责任，明确步骤，确保《行动方案》落到实处；建立目标分解、预算分配、检查评估、阶段修订的组织体系，按年度、分项目、有步骤组织实施，加强动态考核和督促检查，将《行动方案》的完成情况作为学校各级领导班子和干部考核的重要依据。</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（四）优先保障支持。</w:t>
      </w:r>
      <w:r>
        <w:rPr>
          <w:rFonts w:hint="eastAsia" w:ascii="仿宋" w:hAnsi="仿宋" w:eastAsia="仿宋" w:cs="仿宋"/>
          <w:color w:val="000000" w:themeColor="text1"/>
          <w:sz w:val="32"/>
          <w:szCs w:val="32"/>
          <w14:textFill>
            <w14:solidFill>
              <w14:schemeClr w14:val="tx1"/>
            </w14:solidFill>
          </w14:textFill>
        </w:rPr>
        <w:t>优化统筹校内资源，从平台建设、项目支持、学科专业设置、招生计划、人才引进与培养等方面优先提供政策保障和经费支持，切实支持和保障《行动方案》的落实推进；重点支持具有一定基础，有能力冲击国家级和省级科研平台的实验室、工程技术研究中心、协同创新中心、人文社会科学研究基地等平台建设。在《行动方案》的实施过程中，结合实际情况，对其完成情况进行客观分析和研究，并根据形势需要对相关内容和实施举措做出必要的调整和修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val="en-US" w:eastAsia="zh-CN"/>
          <w14:textFill>
            <w14:solidFill>
              <w14:schemeClr w14:val="tx1"/>
            </w14:solidFill>
          </w14:textFill>
        </w:rPr>
        <w:t xml:space="preserve">                           黄山学院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val="en-US" w:eastAsia="zh-CN"/>
          <w14:textFill>
            <w14:solidFill>
              <w14:schemeClr w14:val="tx1"/>
            </w14:solidFill>
          </w14:textFill>
        </w:rPr>
        <w:t xml:space="preserve">                         2021年9月4日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0107236"/>
      <w:docPartObj>
        <w:docPartGallery w:val="autotext"/>
      </w:docPartObj>
    </w:sdtPr>
    <w:sdtContent>
      <w:p>
        <w:pPr>
          <w:pStyle w:val="2"/>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3E"/>
    <w:rsid w:val="0000326A"/>
    <w:rsid w:val="00004391"/>
    <w:rsid w:val="00020F67"/>
    <w:rsid w:val="00030059"/>
    <w:rsid w:val="00063D65"/>
    <w:rsid w:val="000718B0"/>
    <w:rsid w:val="000E1151"/>
    <w:rsid w:val="000E253A"/>
    <w:rsid w:val="000F04B4"/>
    <w:rsid w:val="000F2CCD"/>
    <w:rsid w:val="001308CC"/>
    <w:rsid w:val="001508F0"/>
    <w:rsid w:val="0016366B"/>
    <w:rsid w:val="001878C9"/>
    <w:rsid w:val="001D2B89"/>
    <w:rsid w:val="001F2A51"/>
    <w:rsid w:val="0022004D"/>
    <w:rsid w:val="002821F8"/>
    <w:rsid w:val="002842E1"/>
    <w:rsid w:val="002D0442"/>
    <w:rsid w:val="002D7B96"/>
    <w:rsid w:val="002F0C3E"/>
    <w:rsid w:val="00320BEA"/>
    <w:rsid w:val="0032674D"/>
    <w:rsid w:val="00334C77"/>
    <w:rsid w:val="0035065B"/>
    <w:rsid w:val="00386166"/>
    <w:rsid w:val="003923B6"/>
    <w:rsid w:val="003954FF"/>
    <w:rsid w:val="003A5400"/>
    <w:rsid w:val="003D5527"/>
    <w:rsid w:val="00410BE6"/>
    <w:rsid w:val="004275FC"/>
    <w:rsid w:val="00443072"/>
    <w:rsid w:val="004776A5"/>
    <w:rsid w:val="00477ABD"/>
    <w:rsid w:val="00495172"/>
    <w:rsid w:val="004D0618"/>
    <w:rsid w:val="004D1BDC"/>
    <w:rsid w:val="004E3A28"/>
    <w:rsid w:val="00552E12"/>
    <w:rsid w:val="005942E3"/>
    <w:rsid w:val="005C59E2"/>
    <w:rsid w:val="005E13D9"/>
    <w:rsid w:val="005F1B9D"/>
    <w:rsid w:val="005F5591"/>
    <w:rsid w:val="006034CA"/>
    <w:rsid w:val="00622697"/>
    <w:rsid w:val="006262B7"/>
    <w:rsid w:val="0064499B"/>
    <w:rsid w:val="00652280"/>
    <w:rsid w:val="00657D1F"/>
    <w:rsid w:val="00677009"/>
    <w:rsid w:val="006814BC"/>
    <w:rsid w:val="006B18FC"/>
    <w:rsid w:val="006D3101"/>
    <w:rsid w:val="006D5FFD"/>
    <w:rsid w:val="006E6963"/>
    <w:rsid w:val="007334B6"/>
    <w:rsid w:val="00745B8B"/>
    <w:rsid w:val="007827E3"/>
    <w:rsid w:val="007B3B3D"/>
    <w:rsid w:val="007E562D"/>
    <w:rsid w:val="008521D3"/>
    <w:rsid w:val="008814E5"/>
    <w:rsid w:val="00896012"/>
    <w:rsid w:val="008C0964"/>
    <w:rsid w:val="008D44D4"/>
    <w:rsid w:val="008E44B3"/>
    <w:rsid w:val="008E5906"/>
    <w:rsid w:val="008E62DA"/>
    <w:rsid w:val="008E667A"/>
    <w:rsid w:val="008F38F0"/>
    <w:rsid w:val="00922BF4"/>
    <w:rsid w:val="009579A5"/>
    <w:rsid w:val="0097717E"/>
    <w:rsid w:val="00983BA4"/>
    <w:rsid w:val="009A3D28"/>
    <w:rsid w:val="009E6EA4"/>
    <w:rsid w:val="00A3152F"/>
    <w:rsid w:val="00A67A37"/>
    <w:rsid w:val="00AA3685"/>
    <w:rsid w:val="00AE0431"/>
    <w:rsid w:val="00B226C6"/>
    <w:rsid w:val="00B25BAC"/>
    <w:rsid w:val="00B351D2"/>
    <w:rsid w:val="00B86AED"/>
    <w:rsid w:val="00B96DEA"/>
    <w:rsid w:val="00C12222"/>
    <w:rsid w:val="00C21ECA"/>
    <w:rsid w:val="00C6726D"/>
    <w:rsid w:val="00C76640"/>
    <w:rsid w:val="00C852C2"/>
    <w:rsid w:val="00CC1FE9"/>
    <w:rsid w:val="00CE1C75"/>
    <w:rsid w:val="00CE4E11"/>
    <w:rsid w:val="00D5674A"/>
    <w:rsid w:val="00D9386D"/>
    <w:rsid w:val="00DB5478"/>
    <w:rsid w:val="00DB6100"/>
    <w:rsid w:val="00DC6EA3"/>
    <w:rsid w:val="00E056FF"/>
    <w:rsid w:val="00E1695B"/>
    <w:rsid w:val="00E65664"/>
    <w:rsid w:val="00E75331"/>
    <w:rsid w:val="00E9254B"/>
    <w:rsid w:val="00F458A7"/>
    <w:rsid w:val="00F51A2B"/>
    <w:rsid w:val="00F729B9"/>
    <w:rsid w:val="00F74C24"/>
    <w:rsid w:val="00F81F00"/>
    <w:rsid w:val="00F96C8D"/>
    <w:rsid w:val="00FE4668"/>
    <w:rsid w:val="03EA5113"/>
    <w:rsid w:val="04A728E3"/>
    <w:rsid w:val="077C1C01"/>
    <w:rsid w:val="08070916"/>
    <w:rsid w:val="0BC0687B"/>
    <w:rsid w:val="10CA0C5F"/>
    <w:rsid w:val="11457ED0"/>
    <w:rsid w:val="15847024"/>
    <w:rsid w:val="18573216"/>
    <w:rsid w:val="259B19B2"/>
    <w:rsid w:val="2A3E7A51"/>
    <w:rsid w:val="2AFE4AB7"/>
    <w:rsid w:val="2C5741C3"/>
    <w:rsid w:val="2D60455E"/>
    <w:rsid w:val="2E420498"/>
    <w:rsid w:val="325448E4"/>
    <w:rsid w:val="371D2B10"/>
    <w:rsid w:val="37B33E9E"/>
    <w:rsid w:val="3AC53B6C"/>
    <w:rsid w:val="3D412F08"/>
    <w:rsid w:val="3DA35B7C"/>
    <w:rsid w:val="43307902"/>
    <w:rsid w:val="4BA87CD4"/>
    <w:rsid w:val="53C73376"/>
    <w:rsid w:val="5921065E"/>
    <w:rsid w:val="657D2AF3"/>
    <w:rsid w:val="70F86A44"/>
    <w:rsid w:val="712E2E23"/>
    <w:rsid w:val="73966212"/>
    <w:rsid w:val="74AD56A9"/>
    <w:rsid w:val="75F125E2"/>
    <w:rsid w:val="7C264673"/>
    <w:rsid w:val="7C96112B"/>
    <w:rsid w:val="7F8324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79DFAC-6436-4D00-B888-7FC315EAF3E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1246</Words>
  <Characters>7107</Characters>
  <Lines>59</Lines>
  <Paragraphs>16</Paragraphs>
  <TotalTime>442</TotalTime>
  <ScaleCrop>false</ScaleCrop>
  <LinksUpToDate>false</LinksUpToDate>
  <CharactersWithSpaces>8337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2021-08-29T01:09:00Z</dcterms:created>
  <dc:creator>Administrator</dc:creator>
  <cp:lastModifiedBy>银万两</cp:lastModifiedBy>
  <cp:lastPrinted>2021-09-01T02:14:00Z</cp:lastPrinted>
  <dcterms:modified xsi:type="dcterms:W3CDTF">2021-09-04T07:44:44Z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8626B19B78A4466190C46DBE6096052F</vt:lpwstr>
  </property>
</Properties>
</file>